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B31D" w14:textId="20A1FEF3" w:rsidR="00BE735E" w:rsidRDefault="00000000">
      <w:pPr>
        <w:spacing w:after="300"/>
        <w:jc w:val="right"/>
      </w:pPr>
      <w:r>
        <w:rPr>
          <w:rFonts w:ascii="Calibri" w:eastAsia="Calibri" w:hAnsi="Calibri" w:cs="Calibri"/>
          <w:i/>
          <w:iCs/>
          <w:sz w:val="22"/>
          <w:szCs w:val="22"/>
        </w:rPr>
        <w:t>Ρόδος, 2</w:t>
      </w:r>
      <w:r w:rsidR="005262C1">
        <w:rPr>
          <w:rFonts w:ascii="Calibri" w:eastAsia="Calibri" w:hAnsi="Calibri" w:cs="Calibri"/>
          <w:i/>
          <w:iCs/>
          <w:sz w:val="22"/>
          <w:szCs w:val="22"/>
        </w:rPr>
        <w:t>1</w:t>
      </w:r>
      <w:r>
        <w:rPr>
          <w:rFonts w:ascii="Calibri" w:eastAsia="Calibri" w:hAnsi="Calibri" w:cs="Calibri"/>
          <w:i/>
          <w:iCs/>
          <w:sz w:val="22"/>
          <w:szCs w:val="22"/>
        </w:rPr>
        <w:t xml:space="preserve"> Ιουλίου 2026</w:t>
      </w:r>
    </w:p>
    <w:p w14:paraId="6BBA3B9F" w14:textId="77777777" w:rsidR="00BE735E" w:rsidRDefault="00000000">
      <w:pPr>
        <w:spacing w:after="80"/>
        <w:jc w:val="center"/>
      </w:pPr>
      <w:r>
        <w:rPr>
          <w:rFonts w:ascii="Calibri" w:eastAsia="Calibri" w:hAnsi="Calibri" w:cs="Calibri"/>
          <w:b/>
          <w:bCs/>
          <w:color w:val="1F3864"/>
          <w:sz w:val="32"/>
          <w:szCs w:val="32"/>
        </w:rPr>
        <w:t>ΑΝΟΙΧΤΗ ΕΠΙΣΤΟΛΗ</w:t>
      </w:r>
    </w:p>
    <w:p w14:paraId="628E25AA" w14:textId="77777777" w:rsidR="00BE735E" w:rsidRDefault="00000000">
      <w:pPr>
        <w:spacing w:after="60"/>
        <w:jc w:val="center"/>
      </w:pPr>
      <w:r>
        <w:rPr>
          <w:rFonts w:ascii="Calibri" w:eastAsia="Calibri" w:hAnsi="Calibri" w:cs="Calibri"/>
          <w:b/>
          <w:bCs/>
          <w:sz w:val="24"/>
          <w:szCs w:val="24"/>
        </w:rPr>
        <w:t>Προς τα μέλη της «Νέας Αρχής Ρόδου»</w:t>
      </w:r>
    </w:p>
    <w:p w14:paraId="1AB4C090" w14:textId="77777777" w:rsidR="00BE735E" w:rsidRDefault="00BE735E">
      <w:pPr>
        <w:pBdr>
          <w:bottom w:val="single" w:sz="6" w:space="1" w:color="999999"/>
        </w:pBdr>
        <w:spacing w:after="200"/>
      </w:pPr>
    </w:p>
    <w:p w14:paraId="234C0326" w14:textId="77777777" w:rsidR="00BE735E" w:rsidRDefault="00000000">
      <w:pPr>
        <w:spacing w:after="160" w:line="300" w:lineRule="auto"/>
        <w:jc w:val="both"/>
      </w:pPr>
      <w:r>
        <w:rPr>
          <w:rFonts w:ascii="Calibri" w:eastAsia="Calibri" w:hAnsi="Calibri" w:cs="Calibri"/>
          <w:sz w:val="22"/>
          <w:szCs w:val="22"/>
        </w:rPr>
        <w:t>Αγαπητά μέλη της «Νέας Αρχής Ρόδου»,</w:t>
      </w:r>
    </w:p>
    <w:p w14:paraId="36218114" w14:textId="77777777" w:rsidR="00BE735E" w:rsidRDefault="00000000">
      <w:pPr>
        <w:spacing w:after="160" w:line="300" w:lineRule="auto"/>
        <w:jc w:val="both"/>
      </w:pPr>
      <w:r>
        <w:rPr>
          <w:rFonts w:ascii="Calibri" w:eastAsia="Calibri" w:hAnsi="Calibri" w:cs="Calibri"/>
          <w:sz w:val="22"/>
          <w:szCs w:val="22"/>
        </w:rPr>
        <w:t>Η ανακοίνωσή σας της 19ης Ιουλίου 2026 δεν είναι απλώς πολιτικά ανακριβής. Είναι, με βάση τα επίσημα στοιχεία που ακολουθούν, μια πράξη πολιτικής υποκρισίας που φέρει την υπογραφή σας αλλά την πατρότητα ενός και μόνο προσώπου: του κ. Σπύρου Σπυρόπουλου, πρώην αντιπροέδρου της ΔΕΥΑΡ. Δεν σας γράφουμε για να αμφισβητήσουμε το δικαίωμά σας να ασκείτε αντιπολίτευση — αυτό είναι θεμιτό και αναγκαίο σε μια δημοκρατία. Σας γράφουμε γιατί επιλέξατε να το ασκήσετε στηριζόμενοι στη μαρτυρία ενός ανθρώπου που έχει τον μεγαλύτερο προσωπικό λόγο απ' όλους να αποκρύψει την αλήθεια για τη δική του θητεία. Όσα ακολουθούν δεν είναι ερωτήματα προς εσάς. Είναι καταγεγραμμένα γεγονότα, με ημερομηνίες, ποσά και επίσημες πηγές. Η παρούσα δεν απευθύνεται στον κ. Σπυρόπουλο, που τα γνωρίζει καλύτερα από τον καθένα μας. Απευθύνεται σε εσάς, που τα υπογράψατε.</w:t>
      </w:r>
    </w:p>
    <w:p w14:paraId="3E619F8D" w14:textId="77777777" w:rsidR="00BE735E" w:rsidRDefault="00000000">
      <w:pPr>
        <w:pStyle w:val="1"/>
        <w:spacing w:before="300" w:after="160"/>
      </w:pPr>
      <w:r>
        <w:rPr>
          <w:rFonts w:ascii="Calibri" w:eastAsia="Calibri" w:hAnsi="Calibri" w:cs="Calibri"/>
          <w:b/>
          <w:bCs/>
          <w:color w:val="1F3864"/>
          <w:sz w:val="26"/>
          <w:szCs w:val="26"/>
        </w:rPr>
        <w:t>Α. Η πραγματική θητεία του κ. Σπυρόπουλου: τέσσερις πρόεδροι, ένας διαρκής αντιπρόεδρος, καμία λογοδοσία</w:t>
      </w:r>
    </w:p>
    <w:p w14:paraId="4232C268" w14:textId="77777777" w:rsidR="00BE735E" w:rsidRDefault="00000000">
      <w:pPr>
        <w:spacing w:after="160" w:line="300" w:lineRule="auto"/>
        <w:jc w:val="both"/>
      </w:pPr>
      <w:r>
        <w:rPr>
          <w:rFonts w:ascii="Calibri" w:eastAsia="Calibri" w:hAnsi="Calibri" w:cs="Calibri"/>
          <w:sz w:val="22"/>
          <w:szCs w:val="22"/>
        </w:rPr>
        <w:t>Ο κ. Σπυρόπουλος διετέλεσε έμμισθος αντιπρόεδρος της ΔΕΥΑΡ αδιαλείπτως από το 2019 έως το 2023. Στη διάρκεια αυτής της τετραετίας, η ΔΕΥΑΡ άλλαξε τέσσερις (4) προέδρους. Ο μόνος που παρέμεινε σταθερά στη θέση του, εν μέσω αυτής της διοικητικής αστάθειας, ήταν ο ίδιος. Και όμως, ούτε ο ίδιος ούτε καμία από τις τέσσερις διοικήσεις που πέρασαν από πάνω του φρόντισε να αναθέσει τον υποχρεωτικό έλεγχο ορκωτών λογιστών για τις χρήσεις 2021 και 2022. Η ανάθεση έγινε τελικά το 2024, από τη σημερινή διοίκηση. Δεν πρόκειται για ατυχή σύμπτωση: πρόκειται για συνειδητή αποφυγή ελέγχου, από τον μόνο άνθρωπο που είχε τη θεσμική συνέχεια να τον επιβάλει και δεν το έκανε.</w:t>
      </w:r>
    </w:p>
    <w:p w14:paraId="3058F5FC" w14:textId="77777777" w:rsidR="00BE735E" w:rsidRDefault="00000000">
      <w:pPr>
        <w:spacing w:after="160" w:line="300" w:lineRule="auto"/>
        <w:jc w:val="both"/>
      </w:pPr>
      <w:r>
        <w:rPr>
          <w:rFonts w:ascii="Calibri" w:eastAsia="Calibri" w:hAnsi="Calibri" w:cs="Calibri"/>
          <w:sz w:val="22"/>
          <w:szCs w:val="22"/>
        </w:rPr>
        <w:t>Όταν επιτέλους οι ελεγκτές (DFK PD AUDIT A.E.) παρέδωσαν τις εκθέσεις τους, στις 29/6/2026, και οι δύο χρήσεις 2021 και 2022 —πλήρως εντός της θητείας του— έλαβαν «γνώμη με επιφύλαξη», με οκτώ ξεχωριστές παρατηρήσεις η καθεμία. Επιγραμματικά, οι ορκωτοί διαπίστωσαν:</w:t>
      </w:r>
    </w:p>
    <w:p w14:paraId="5FE19518" w14:textId="77777777" w:rsidR="00BE735E" w:rsidRDefault="00000000">
      <w:pPr>
        <w:pStyle w:val="a4"/>
        <w:numPr>
          <w:ilvl w:val="0"/>
          <w:numId w:val="2"/>
        </w:numPr>
        <w:spacing w:after="100" w:line="290" w:lineRule="auto"/>
        <w:jc w:val="both"/>
      </w:pPr>
      <w:r>
        <w:rPr>
          <w:rFonts w:ascii="Calibri" w:eastAsia="Calibri" w:hAnsi="Calibri" w:cs="Calibri"/>
          <w:sz w:val="22"/>
          <w:szCs w:val="22"/>
        </w:rPr>
        <w:t>Αδυναμία επαλήθευσης της αξίας κτήσης, των αποσβέσεων και της υπολειπόμενης αξίας των παγίων περιουσιακών στοιχείων.</w:t>
      </w:r>
    </w:p>
    <w:p w14:paraId="6C219DAC" w14:textId="77777777" w:rsidR="00BE735E" w:rsidRDefault="00000000">
      <w:pPr>
        <w:pStyle w:val="a4"/>
        <w:numPr>
          <w:ilvl w:val="0"/>
          <w:numId w:val="2"/>
        </w:numPr>
        <w:spacing w:after="100" w:line="290" w:lineRule="auto"/>
        <w:jc w:val="both"/>
      </w:pPr>
      <w:r>
        <w:rPr>
          <w:rFonts w:ascii="Calibri" w:eastAsia="Calibri" w:hAnsi="Calibri" w:cs="Calibri"/>
          <w:sz w:val="22"/>
          <w:szCs w:val="22"/>
        </w:rPr>
        <w:t>Ανεπιβεβαίωτες εμπορικές απαιτήσεις ύψους 2,7 εκ.€ (2021) και 6,1 εκ.€ (2022), σε σύνολο απαιτήσεων άνω των 65-68 εκ.€, με αμφισβητούμενη επάρκεια των σχηματισμένων προβλέψεων επισφαλειών.</w:t>
      </w:r>
    </w:p>
    <w:p w14:paraId="60AAB529" w14:textId="77777777" w:rsidR="00BE735E" w:rsidRDefault="00000000">
      <w:pPr>
        <w:pStyle w:val="a4"/>
        <w:numPr>
          <w:ilvl w:val="0"/>
          <w:numId w:val="2"/>
        </w:numPr>
        <w:spacing w:after="100" w:line="290" w:lineRule="auto"/>
        <w:jc w:val="both"/>
      </w:pPr>
      <w:r>
        <w:rPr>
          <w:rFonts w:ascii="Calibri" w:eastAsia="Calibri" w:hAnsi="Calibri" w:cs="Calibri"/>
          <w:sz w:val="22"/>
          <w:szCs w:val="22"/>
        </w:rPr>
        <w:t>Ελλιπείς προβλέψεις για ληξιπρόθεσμες απαιτήσεις προηγούμενων χρήσεων, με υποεκτίμηση άνω του 1 εκ.€.</w:t>
      </w:r>
    </w:p>
    <w:p w14:paraId="0FF4D278" w14:textId="77777777" w:rsidR="00BE735E" w:rsidRDefault="00000000">
      <w:pPr>
        <w:pStyle w:val="a4"/>
        <w:numPr>
          <w:ilvl w:val="0"/>
          <w:numId w:val="2"/>
        </w:numPr>
        <w:spacing w:after="100" w:line="290" w:lineRule="auto"/>
        <w:jc w:val="both"/>
      </w:pPr>
      <w:r>
        <w:rPr>
          <w:rFonts w:ascii="Calibri" w:eastAsia="Calibri" w:hAnsi="Calibri" w:cs="Calibri"/>
          <w:sz w:val="22"/>
          <w:szCs w:val="22"/>
        </w:rPr>
        <w:t>Μη ορθή, κατά παρέκκλιση οδηγίας της ΕΛΤΕ, αναπροσαρμογή της πρόβλεψης αποζημίωσης προσωπικού, με ουσιώδη επίδραση στα ίδια κεφάλαια και στα αποτελέσματα.</w:t>
      </w:r>
    </w:p>
    <w:p w14:paraId="3E3B00A3" w14:textId="77777777" w:rsidR="00BE735E" w:rsidRDefault="00000000">
      <w:pPr>
        <w:pStyle w:val="a4"/>
        <w:numPr>
          <w:ilvl w:val="0"/>
          <w:numId w:val="2"/>
        </w:numPr>
        <w:spacing w:after="100" w:line="290" w:lineRule="auto"/>
        <w:jc w:val="both"/>
      </w:pPr>
      <w:r>
        <w:rPr>
          <w:rFonts w:ascii="Calibri" w:eastAsia="Calibri" w:hAnsi="Calibri" w:cs="Calibri"/>
          <w:sz w:val="22"/>
          <w:szCs w:val="22"/>
        </w:rPr>
        <w:t>Ανεπιβεβαίωτες υποχρεώσεις/απαιτήσεις προς και από τον Δήμο Ρόδου, ύψους έως και 5,8 εκ.€.</w:t>
      </w:r>
    </w:p>
    <w:p w14:paraId="78944C25" w14:textId="77777777" w:rsidR="00BE735E" w:rsidRDefault="00000000">
      <w:pPr>
        <w:pStyle w:val="a4"/>
        <w:numPr>
          <w:ilvl w:val="0"/>
          <w:numId w:val="2"/>
        </w:numPr>
        <w:spacing w:after="100" w:line="290" w:lineRule="auto"/>
        <w:jc w:val="both"/>
      </w:pPr>
      <w:r>
        <w:rPr>
          <w:rFonts w:ascii="Calibri" w:eastAsia="Calibri" w:hAnsi="Calibri" w:cs="Calibri"/>
          <w:sz w:val="22"/>
          <w:szCs w:val="22"/>
        </w:rPr>
        <w:t>Ανεπιβεβαίωτη υποχρέωση προς την υπό ειδική εκκαθάριση Συνεταιριστική Τράπεζα Δωδεκανήσου.</w:t>
      </w:r>
    </w:p>
    <w:p w14:paraId="6C3A2CF6" w14:textId="77777777" w:rsidR="00BE735E" w:rsidRDefault="00000000">
      <w:pPr>
        <w:pStyle w:val="a4"/>
        <w:numPr>
          <w:ilvl w:val="0"/>
          <w:numId w:val="2"/>
        </w:numPr>
        <w:spacing w:after="100" w:line="290" w:lineRule="auto"/>
        <w:jc w:val="both"/>
      </w:pPr>
      <w:r>
        <w:rPr>
          <w:rFonts w:ascii="Calibri" w:eastAsia="Calibri" w:hAnsi="Calibri" w:cs="Calibri"/>
          <w:sz w:val="22"/>
          <w:szCs w:val="22"/>
        </w:rPr>
        <w:lastRenderedPageBreak/>
        <w:t>Λανθασμένη χρονική κατανομή εξόδων μεταξύ χρήσεων, με στρέβλωση των εμφανιζόμενων αποτελεσμάτων.</w:t>
      </w:r>
    </w:p>
    <w:p w14:paraId="0EDBCD96" w14:textId="77777777" w:rsidR="00BE735E" w:rsidRDefault="00000000">
      <w:pPr>
        <w:pStyle w:val="a4"/>
        <w:numPr>
          <w:ilvl w:val="0"/>
          <w:numId w:val="2"/>
        </w:numPr>
        <w:spacing w:after="100" w:line="290" w:lineRule="auto"/>
        <w:jc w:val="both"/>
      </w:pPr>
      <w:r>
        <w:rPr>
          <w:rFonts w:ascii="Calibri" w:eastAsia="Calibri" w:hAnsi="Calibri" w:cs="Calibri"/>
          <w:sz w:val="22"/>
          <w:szCs w:val="22"/>
        </w:rPr>
        <w:t>Πλήρως ανέλεγκτες φορολογικά τις χρήσεις 2016-2022, χωρίς καμία πρόβλεψη για ενδεχόμενες μελλοντικές φορολογικές επιβαρύνσεις.</w:t>
      </w:r>
    </w:p>
    <w:p w14:paraId="216A9C7B" w14:textId="77777777" w:rsidR="00BE735E" w:rsidRDefault="00000000">
      <w:pPr>
        <w:spacing w:after="160" w:line="300" w:lineRule="auto"/>
        <w:jc w:val="both"/>
      </w:pPr>
      <w:r>
        <w:rPr>
          <w:rFonts w:ascii="Calibri" w:eastAsia="Calibri" w:hAnsi="Calibri" w:cs="Calibri"/>
          <w:sz w:val="22"/>
          <w:szCs w:val="22"/>
        </w:rPr>
        <w:t>Δεκαέξι συνολικά ουσιώδεις παρατηρήσεις ανεξάρτητων ορκωτών ελεγκτών. Αυτή, και όχι αυτή που σας περιέγραψε, είναι η πραγματική κληρονομιά της «χρηστής διοίκησης» που επικαλείται σήμερα ο κ. Σπυρόπουλος για να κρίνει τους άλλους.</w:t>
      </w:r>
    </w:p>
    <w:p w14:paraId="1201DBE0" w14:textId="77777777" w:rsidR="00BE735E" w:rsidRDefault="00000000">
      <w:pPr>
        <w:pStyle w:val="1"/>
        <w:spacing w:before="300" w:after="160"/>
      </w:pPr>
      <w:r>
        <w:rPr>
          <w:rFonts w:ascii="Calibri" w:eastAsia="Calibri" w:hAnsi="Calibri" w:cs="Calibri"/>
          <w:b/>
          <w:bCs/>
          <w:color w:val="1F3864"/>
          <w:sz w:val="26"/>
          <w:szCs w:val="26"/>
        </w:rPr>
        <w:t>Β. Το πρόστιμο 594.446,40€ που ουδέποτε ανέφερε δημόσια</w:t>
      </w:r>
    </w:p>
    <w:p w14:paraId="6C5CD4E6" w14:textId="7A494BC9" w:rsidR="00BE735E" w:rsidRDefault="00000000">
      <w:pPr>
        <w:spacing w:after="160" w:line="300" w:lineRule="auto"/>
        <w:jc w:val="both"/>
      </w:pPr>
      <w:r>
        <w:rPr>
          <w:rFonts w:ascii="Calibri" w:eastAsia="Calibri" w:hAnsi="Calibri" w:cs="Calibri"/>
          <w:sz w:val="22"/>
          <w:szCs w:val="22"/>
        </w:rPr>
        <w:t xml:space="preserve">Στις 13/9/2022 —πλήρως εντός της θητείας του κ. Σπυρόπουλου— το Σώμα Επιθεώρησης Νότιου Ελλάδος του ΥΠΕΝ διενήργησε αυτοψία στην Εγκατάσταση Επεξεργασίας Λυμάτων Ρόδου (Βόδι) και κατέγραψε σωρεία ελλείψεων: ανενεργό σύστημα χλωρίωσης/απολύμανσης των λυμάτων, καμία μέτρηση ποιότητας των επεξεργασμένων λυμάτων, απουσία συστημάτων </w:t>
      </w:r>
      <w:proofErr w:type="spellStart"/>
      <w:r>
        <w:rPr>
          <w:rFonts w:ascii="Calibri" w:eastAsia="Calibri" w:hAnsi="Calibri" w:cs="Calibri"/>
          <w:sz w:val="22"/>
          <w:szCs w:val="22"/>
        </w:rPr>
        <w:t>απόσμησης</w:t>
      </w:r>
      <w:proofErr w:type="spellEnd"/>
      <w:r>
        <w:rPr>
          <w:rFonts w:ascii="Calibri" w:eastAsia="Calibri" w:hAnsi="Calibri" w:cs="Calibri"/>
          <w:sz w:val="22"/>
          <w:szCs w:val="22"/>
        </w:rPr>
        <w:t xml:space="preserve"> παρά τη διαπιστωμένη έκλυση οσμών, απουσία σημαδούρας και πινακίδων στο σημείο διάθεσης στη θάλασσα, ελλιπή περίφραξη, απουσία αλεξικέραυνου και πυροσβεστήρων, και ελλιπή σχεδόν όλα τα ζητούμενα δικαιολογητικά λειτουργίας. Η αυτοψία αυτή οδήγησε σε πρόστιμο 594.446,40€ από το ΥΠΕΝ — αποκλειστικό προϊόν της τότε διοίκησης, στην οποία ο κ. Σπυρόπουλος ήταν αντιπρόεδρος. Ο ίδιος σχολιάζει σήμερα δημόσια την κατάσταση της ΕΕΛ Βόδι χωρίς ποτέ να αναφέρει  το πρόστιμο αυτό </w:t>
      </w:r>
      <w:r w:rsidR="009F1A61">
        <w:rPr>
          <w:rFonts w:ascii="Calibri" w:eastAsia="Calibri" w:hAnsi="Calibri" w:cs="Calibri"/>
          <w:sz w:val="22"/>
          <w:szCs w:val="22"/>
        </w:rPr>
        <w:t>και την ανεπάρκεια της δικής του θητείας.</w:t>
      </w:r>
    </w:p>
    <w:p w14:paraId="4060620F" w14:textId="77777777" w:rsidR="00BE735E" w:rsidRDefault="00000000">
      <w:pPr>
        <w:pStyle w:val="1"/>
        <w:spacing w:before="300" w:after="160"/>
      </w:pPr>
      <w:r>
        <w:rPr>
          <w:rFonts w:ascii="Calibri" w:eastAsia="Calibri" w:hAnsi="Calibri" w:cs="Calibri"/>
          <w:b/>
          <w:bCs/>
          <w:color w:val="1F3864"/>
          <w:sz w:val="26"/>
          <w:szCs w:val="26"/>
        </w:rPr>
        <w:t>Γ. Οι αριθμοί που καταρρίπτουν το αφήγημα περί κινδύνου</w:t>
      </w:r>
    </w:p>
    <w:p w14:paraId="4C9E9F82" w14:textId="77777777" w:rsidR="00BE735E" w:rsidRDefault="00000000">
      <w:pPr>
        <w:spacing w:after="160" w:line="300" w:lineRule="auto"/>
        <w:jc w:val="both"/>
      </w:pPr>
      <w:r>
        <w:rPr>
          <w:rFonts w:ascii="Calibri" w:eastAsia="Calibri" w:hAnsi="Calibri" w:cs="Calibri"/>
          <w:sz w:val="22"/>
          <w:szCs w:val="22"/>
        </w:rPr>
        <w:t>Το 2023, τελευταίο πλήρες έτος της θητείας του κ. Σπυρόπουλου, η ΔΕΥΑΡ έκλεισε με αποτέλεσμα προ φόρων μόλις 892,42€ και ταμειακά διαθέσιμα μόλις 229.448€ — σε επιχείρηση με ενεργητικό άνω των 117 εκ.€. Αυτή, και όχι η σημερινή, ήταν η στιγμή πραγματικού κινδύνου ρευστότητας για τη ΔΕΥΑΡ. Δείτε τι ακολούθησε μετά την αποχώρησή του:</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2000"/>
        <w:gridCol w:w="2000"/>
        <w:gridCol w:w="2000"/>
      </w:tblGrid>
      <w:tr w:rsidR="00BE735E" w14:paraId="4C56D1E6" w14:textId="77777777">
        <w:tc>
          <w:tcPr>
            <w:tcW w:w="2200" w:type="dxa"/>
            <w:shd w:val="clear" w:color="auto" w:fill="1F3864"/>
            <w:tcMar>
              <w:top w:w="80" w:type="dxa"/>
              <w:left w:w="100" w:type="dxa"/>
              <w:bottom w:w="80" w:type="dxa"/>
              <w:right w:w="100" w:type="dxa"/>
            </w:tcMar>
          </w:tcPr>
          <w:p w14:paraId="7C5A11B1" w14:textId="77777777" w:rsidR="00BE735E" w:rsidRDefault="00000000">
            <w:pPr>
              <w:jc w:val="center"/>
            </w:pPr>
            <w:r>
              <w:rPr>
                <w:rFonts w:ascii="Calibri" w:eastAsia="Calibri" w:hAnsi="Calibri" w:cs="Calibri"/>
                <w:b/>
                <w:bCs/>
              </w:rPr>
              <w:t>Έτος</w:t>
            </w:r>
          </w:p>
        </w:tc>
        <w:tc>
          <w:tcPr>
            <w:tcW w:w="2000" w:type="dxa"/>
            <w:shd w:val="clear" w:color="auto" w:fill="1F3864"/>
            <w:tcMar>
              <w:top w:w="80" w:type="dxa"/>
              <w:left w:w="100" w:type="dxa"/>
              <w:bottom w:w="80" w:type="dxa"/>
              <w:right w:w="100" w:type="dxa"/>
            </w:tcMar>
          </w:tcPr>
          <w:p w14:paraId="2665C0D8" w14:textId="77777777" w:rsidR="00BE735E" w:rsidRDefault="00000000">
            <w:pPr>
              <w:jc w:val="center"/>
            </w:pPr>
            <w:r>
              <w:rPr>
                <w:rFonts w:ascii="Calibri" w:eastAsia="Calibri" w:hAnsi="Calibri" w:cs="Calibri"/>
                <w:b/>
                <w:bCs/>
              </w:rPr>
              <w:t>Κύκλος εργασιών</w:t>
            </w:r>
          </w:p>
        </w:tc>
        <w:tc>
          <w:tcPr>
            <w:tcW w:w="2000" w:type="dxa"/>
            <w:shd w:val="clear" w:color="auto" w:fill="1F3864"/>
            <w:tcMar>
              <w:top w:w="80" w:type="dxa"/>
              <w:left w:w="100" w:type="dxa"/>
              <w:bottom w:w="80" w:type="dxa"/>
              <w:right w:w="100" w:type="dxa"/>
            </w:tcMar>
          </w:tcPr>
          <w:p w14:paraId="28A3D697" w14:textId="77777777" w:rsidR="00BE735E" w:rsidRDefault="00000000">
            <w:pPr>
              <w:jc w:val="center"/>
            </w:pPr>
            <w:proofErr w:type="spellStart"/>
            <w:r>
              <w:rPr>
                <w:rFonts w:ascii="Calibri" w:eastAsia="Calibri" w:hAnsi="Calibri" w:cs="Calibri"/>
                <w:b/>
                <w:bCs/>
              </w:rPr>
              <w:t>Αποτ</w:t>
            </w:r>
            <w:proofErr w:type="spellEnd"/>
            <w:r>
              <w:rPr>
                <w:rFonts w:ascii="Calibri" w:eastAsia="Calibri" w:hAnsi="Calibri" w:cs="Calibri"/>
                <w:b/>
                <w:bCs/>
              </w:rPr>
              <w:t>. προ φόρων</w:t>
            </w:r>
          </w:p>
        </w:tc>
        <w:tc>
          <w:tcPr>
            <w:tcW w:w="2000" w:type="dxa"/>
            <w:shd w:val="clear" w:color="auto" w:fill="1F3864"/>
            <w:tcMar>
              <w:top w:w="80" w:type="dxa"/>
              <w:left w:w="100" w:type="dxa"/>
              <w:bottom w:w="80" w:type="dxa"/>
              <w:right w:w="100" w:type="dxa"/>
            </w:tcMar>
          </w:tcPr>
          <w:p w14:paraId="306C3A92" w14:textId="77777777" w:rsidR="00BE735E" w:rsidRDefault="00000000">
            <w:pPr>
              <w:jc w:val="center"/>
            </w:pPr>
            <w:r>
              <w:rPr>
                <w:rFonts w:ascii="Calibri" w:eastAsia="Calibri" w:hAnsi="Calibri" w:cs="Calibri"/>
                <w:b/>
                <w:bCs/>
              </w:rPr>
              <w:t>Ταμειακά διαθέσιμα</w:t>
            </w:r>
          </w:p>
        </w:tc>
        <w:tc>
          <w:tcPr>
            <w:tcW w:w="2000" w:type="dxa"/>
            <w:shd w:val="clear" w:color="auto" w:fill="1F3864"/>
            <w:tcMar>
              <w:top w:w="80" w:type="dxa"/>
              <w:left w:w="100" w:type="dxa"/>
              <w:bottom w:w="80" w:type="dxa"/>
              <w:right w:w="100" w:type="dxa"/>
            </w:tcMar>
          </w:tcPr>
          <w:p w14:paraId="430FB31A" w14:textId="77777777" w:rsidR="00BE735E" w:rsidRDefault="00000000">
            <w:pPr>
              <w:jc w:val="center"/>
            </w:pPr>
            <w:proofErr w:type="spellStart"/>
            <w:r>
              <w:rPr>
                <w:rFonts w:ascii="Calibri" w:eastAsia="Calibri" w:hAnsi="Calibri" w:cs="Calibri"/>
                <w:b/>
                <w:bCs/>
              </w:rPr>
              <w:t>Εμπ</w:t>
            </w:r>
            <w:proofErr w:type="spellEnd"/>
            <w:r>
              <w:rPr>
                <w:rFonts w:ascii="Calibri" w:eastAsia="Calibri" w:hAnsi="Calibri" w:cs="Calibri"/>
                <w:b/>
                <w:bCs/>
              </w:rPr>
              <w:t>. απαιτήσεις</w:t>
            </w:r>
          </w:p>
        </w:tc>
      </w:tr>
      <w:tr w:rsidR="00BE735E" w14:paraId="452E5714" w14:textId="77777777">
        <w:tc>
          <w:tcPr>
            <w:tcW w:w="2200" w:type="dxa"/>
            <w:tcMar>
              <w:top w:w="80" w:type="dxa"/>
              <w:left w:w="100" w:type="dxa"/>
              <w:bottom w:w="80" w:type="dxa"/>
              <w:right w:w="100" w:type="dxa"/>
            </w:tcMar>
          </w:tcPr>
          <w:p w14:paraId="39BF3C26" w14:textId="77777777" w:rsidR="00BE735E" w:rsidRDefault="00000000">
            <w:r>
              <w:rPr>
                <w:rFonts w:ascii="Calibri" w:eastAsia="Calibri" w:hAnsi="Calibri" w:cs="Calibri"/>
              </w:rPr>
              <w:t>2023 (τελευταίο πλήρες έτος προηγ. διοίκησης)</w:t>
            </w:r>
          </w:p>
        </w:tc>
        <w:tc>
          <w:tcPr>
            <w:tcW w:w="2000" w:type="dxa"/>
            <w:tcMar>
              <w:top w:w="80" w:type="dxa"/>
              <w:left w:w="100" w:type="dxa"/>
              <w:bottom w:w="80" w:type="dxa"/>
              <w:right w:w="100" w:type="dxa"/>
            </w:tcMar>
          </w:tcPr>
          <w:p w14:paraId="78733E3D" w14:textId="77777777" w:rsidR="00BE735E" w:rsidRDefault="00000000">
            <w:pPr>
              <w:jc w:val="center"/>
            </w:pPr>
            <w:r>
              <w:rPr>
                <w:rFonts w:ascii="Calibri" w:eastAsia="Calibri" w:hAnsi="Calibri" w:cs="Calibri"/>
              </w:rPr>
              <w:t>15.982.741 €</w:t>
            </w:r>
          </w:p>
        </w:tc>
        <w:tc>
          <w:tcPr>
            <w:tcW w:w="2000" w:type="dxa"/>
            <w:tcMar>
              <w:top w:w="80" w:type="dxa"/>
              <w:left w:w="100" w:type="dxa"/>
              <w:bottom w:w="80" w:type="dxa"/>
              <w:right w:w="100" w:type="dxa"/>
            </w:tcMar>
          </w:tcPr>
          <w:p w14:paraId="7827B274" w14:textId="77777777" w:rsidR="00BE735E" w:rsidRDefault="00000000">
            <w:pPr>
              <w:jc w:val="center"/>
            </w:pPr>
            <w:r>
              <w:rPr>
                <w:rFonts w:ascii="Calibri" w:eastAsia="Calibri" w:hAnsi="Calibri" w:cs="Calibri"/>
              </w:rPr>
              <w:t>892 €</w:t>
            </w:r>
          </w:p>
        </w:tc>
        <w:tc>
          <w:tcPr>
            <w:tcW w:w="2000" w:type="dxa"/>
            <w:tcMar>
              <w:top w:w="80" w:type="dxa"/>
              <w:left w:w="100" w:type="dxa"/>
              <w:bottom w:w="80" w:type="dxa"/>
              <w:right w:w="100" w:type="dxa"/>
            </w:tcMar>
          </w:tcPr>
          <w:p w14:paraId="25F5F591" w14:textId="77777777" w:rsidR="00BE735E" w:rsidRDefault="00000000">
            <w:pPr>
              <w:jc w:val="center"/>
            </w:pPr>
            <w:r>
              <w:rPr>
                <w:rFonts w:ascii="Calibri" w:eastAsia="Calibri" w:hAnsi="Calibri" w:cs="Calibri"/>
              </w:rPr>
              <w:t>229.448 €</w:t>
            </w:r>
          </w:p>
        </w:tc>
        <w:tc>
          <w:tcPr>
            <w:tcW w:w="2000" w:type="dxa"/>
            <w:tcMar>
              <w:top w:w="80" w:type="dxa"/>
              <w:left w:w="100" w:type="dxa"/>
              <w:bottom w:w="80" w:type="dxa"/>
              <w:right w:w="100" w:type="dxa"/>
            </w:tcMar>
          </w:tcPr>
          <w:p w14:paraId="67DA8507" w14:textId="77777777" w:rsidR="00BE735E" w:rsidRDefault="00000000">
            <w:pPr>
              <w:jc w:val="center"/>
            </w:pPr>
            <w:r>
              <w:rPr>
                <w:rFonts w:ascii="Calibri" w:eastAsia="Calibri" w:hAnsi="Calibri" w:cs="Calibri"/>
              </w:rPr>
              <w:t>63.853.688 €</w:t>
            </w:r>
          </w:p>
        </w:tc>
      </w:tr>
      <w:tr w:rsidR="00BE735E" w14:paraId="378F51F8" w14:textId="77777777">
        <w:tc>
          <w:tcPr>
            <w:tcW w:w="2200" w:type="dxa"/>
            <w:tcMar>
              <w:top w:w="80" w:type="dxa"/>
              <w:left w:w="100" w:type="dxa"/>
              <w:bottom w:w="80" w:type="dxa"/>
              <w:right w:w="100" w:type="dxa"/>
            </w:tcMar>
          </w:tcPr>
          <w:p w14:paraId="1DCF6592" w14:textId="77777777" w:rsidR="00BE735E" w:rsidRDefault="00000000">
            <w:r>
              <w:rPr>
                <w:rFonts w:ascii="Calibri" w:eastAsia="Calibri" w:hAnsi="Calibri" w:cs="Calibri"/>
              </w:rPr>
              <w:t>2024 (νέα διοίκηση)</w:t>
            </w:r>
          </w:p>
        </w:tc>
        <w:tc>
          <w:tcPr>
            <w:tcW w:w="2000" w:type="dxa"/>
            <w:tcMar>
              <w:top w:w="80" w:type="dxa"/>
              <w:left w:w="100" w:type="dxa"/>
              <w:bottom w:w="80" w:type="dxa"/>
              <w:right w:w="100" w:type="dxa"/>
            </w:tcMar>
          </w:tcPr>
          <w:p w14:paraId="38785A92" w14:textId="77777777" w:rsidR="00BE735E" w:rsidRDefault="00000000">
            <w:pPr>
              <w:jc w:val="center"/>
            </w:pPr>
            <w:r>
              <w:rPr>
                <w:rFonts w:ascii="Calibri" w:eastAsia="Calibri" w:hAnsi="Calibri" w:cs="Calibri"/>
              </w:rPr>
              <w:t>23.632.217 €</w:t>
            </w:r>
          </w:p>
        </w:tc>
        <w:tc>
          <w:tcPr>
            <w:tcW w:w="2000" w:type="dxa"/>
            <w:tcMar>
              <w:top w:w="80" w:type="dxa"/>
              <w:left w:w="100" w:type="dxa"/>
              <w:bottom w:w="80" w:type="dxa"/>
              <w:right w:w="100" w:type="dxa"/>
            </w:tcMar>
          </w:tcPr>
          <w:p w14:paraId="7C376648" w14:textId="77777777" w:rsidR="00BE735E" w:rsidRDefault="00000000">
            <w:pPr>
              <w:jc w:val="center"/>
            </w:pPr>
            <w:r>
              <w:rPr>
                <w:rFonts w:ascii="Calibri" w:eastAsia="Calibri" w:hAnsi="Calibri" w:cs="Calibri"/>
              </w:rPr>
              <w:t>743.624 €</w:t>
            </w:r>
          </w:p>
        </w:tc>
        <w:tc>
          <w:tcPr>
            <w:tcW w:w="2000" w:type="dxa"/>
            <w:tcMar>
              <w:top w:w="80" w:type="dxa"/>
              <w:left w:w="100" w:type="dxa"/>
              <w:bottom w:w="80" w:type="dxa"/>
              <w:right w:w="100" w:type="dxa"/>
            </w:tcMar>
          </w:tcPr>
          <w:p w14:paraId="745BD0CA" w14:textId="77777777" w:rsidR="00BE735E" w:rsidRDefault="00000000">
            <w:pPr>
              <w:jc w:val="center"/>
            </w:pPr>
            <w:r>
              <w:rPr>
                <w:rFonts w:ascii="Calibri" w:eastAsia="Calibri" w:hAnsi="Calibri" w:cs="Calibri"/>
              </w:rPr>
              <w:t>2.179.787 €</w:t>
            </w:r>
          </w:p>
        </w:tc>
        <w:tc>
          <w:tcPr>
            <w:tcW w:w="2000" w:type="dxa"/>
            <w:tcMar>
              <w:top w:w="80" w:type="dxa"/>
              <w:left w:w="100" w:type="dxa"/>
              <w:bottom w:w="80" w:type="dxa"/>
              <w:right w:w="100" w:type="dxa"/>
            </w:tcMar>
          </w:tcPr>
          <w:p w14:paraId="0165C04F" w14:textId="77777777" w:rsidR="00BE735E" w:rsidRDefault="00000000">
            <w:pPr>
              <w:jc w:val="center"/>
            </w:pPr>
            <w:r>
              <w:rPr>
                <w:rFonts w:ascii="Calibri" w:eastAsia="Calibri" w:hAnsi="Calibri" w:cs="Calibri"/>
              </w:rPr>
              <w:t>66.458.197 €</w:t>
            </w:r>
          </w:p>
        </w:tc>
      </w:tr>
    </w:tbl>
    <w:p w14:paraId="10486493" w14:textId="77777777" w:rsidR="00BE735E" w:rsidRDefault="00BE735E">
      <w:pPr>
        <w:spacing w:after="160" w:line="300" w:lineRule="auto"/>
        <w:jc w:val="both"/>
      </w:pPr>
    </w:p>
    <w:p w14:paraId="4447134D" w14:textId="77777777" w:rsidR="00BE735E" w:rsidRDefault="00000000">
      <w:pPr>
        <w:spacing w:after="160" w:line="300" w:lineRule="auto"/>
        <w:jc w:val="both"/>
      </w:pPr>
      <w:r>
        <w:rPr>
          <w:rFonts w:ascii="Calibri" w:eastAsia="Calibri" w:hAnsi="Calibri" w:cs="Calibri"/>
          <w:sz w:val="22"/>
          <w:szCs w:val="22"/>
        </w:rPr>
        <w:t>Ακόμη πιο αποκαλυπτικό: η σημερινή διοίκηση αύξησε δραστικά τις ετήσιες προβλέψεις για επισφαλείς απαιτήσεις σε σχέση με το ιστορικό επίπεδο (περίπου 1,5 εκ.€/έτος επί της θητείας Σπυρόπουλου) — ακριβώς το σημείο που οι ορκωτοί ελεγκτές είχαν καταγγείλει ως ανεπαρκές και αδιαφανές για το 2021-2022. Παρά την πρόσθετη αυτή, συνειδητά συντηρητική επιβάρυνση, τα πραγματικά αποτελέσματα παραμένουν πολλαπλάσια:</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2600"/>
        <w:gridCol w:w="2600"/>
        <w:gridCol w:w="2400"/>
      </w:tblGrid>
      <w:tr w:rsidR="00BE735E" w14:paraId="2F9162C9" w14:textId="77777777">
        <w:tc>
          <w:tcPr>
            <w:tcW w:w="2600" w:type="dxa"/>
            <w:shd w:val="clear" w:color="auto" w:fill="1F3864"/>
            <w:tcMar>
              <w:top w:w="80" w:type="dxa"/>
              <w:left w:w="100" w:type="dxa"/>
              <w:bottom w:w="80" w:type="dxa"/>
              <w:right w:w="100" w:type="dxa"/>
            </w:tcMar>
          </w:tcPr>
          <w:p w14:paraId="75BC37C7" w14:textId="77777777" w:rsidR="00BE735E" w:rsidRDefault="00000000">
            <w:pPr>
              <w:jc w:val="center"/>
            </w:pPr>
            <w:r>
              <w:rPr>
                <w:rFonts w:ascii="Calibri" w:eastAsia="Calibri" w:hAnsi="Calibri" w:cs="Calibri"/>
                <w:b/>
                <w:bCs/>
              </w:rPr>
              <w:t>Έτος</w:t>
            </w:r>
          </w:p>
        </w:tc>
        <w:tc>
          <w:tcPr>
            <w:tcW w:w="2600" w:type="dxa"/>
            <w:shd w:val="clear" w:color="auto" w:fill="1F3864"/>
            <w:tcMar>
              <w:top w:w="80" w:type="dxa"/>
              <w:left w:w="100" w:type="dxa"/>
              <w:bottom w:w="80" w:type="dxa"/>
              <w:right w:w="100" w:type="dxa"/>
            </w:tcMar>
          </w:tcPr>
          <w:p w14:paraId="50B4C015" w14:textId="77777777" w:rsidR="00BE735E" w:rsidRDefault="00000000">
            <w:pPr>
              <w:jc w:val="center"/>
            </w:pPr>
            <w:r>
              <w:rPr>
                <w:rFonts w:ascii="Calibri" w:eastAsia="Calibri" w:hAnsi="Calibri" w:cs="Calibri"/>
                <w:b/>
                <w:bCs/>
              </w:rPr>
              <w:t>Δηλωμένο αποτέλεσμα προ φόρων</w:t>
            </w:r>
          </w:p>
        </w:tc>
        <w:tc>
          <w:tcPr>
            <w:tcW w:w="2600" w:type="dxa"/>
            <w:shd w:val="clear" w:color="auto" w:fill="1F3864"/>
            <w:tcMar>
              <w:top w:w="80" w:type="dxa"/>
              <w:left w:w="100" w:type="dxa"/>
              <w:bottom w:w="80" w:type="dxa"/>
              <w:right w:w="100" w:type="dxa"/>
            </w:tcMar>
          </w:tcPr>
          <w:p w14:paraId="4139C9F5" w14:textId="77777777" w:rsidR="00BE735E" w:rsidRDefault="00000000">
            <w:pPr>
              <w:jc w:val="center"/>
            </w:pPr>
            <w:r>
              <w:rPr>
                <w:rFonts w:ascii="Calibri" w:eastAsia="Calibri" w:hAnsi="Calibri" w:cs="Calibri"/>
                <w:b/>
                <w:bCs/>
              </w:rPr>
              <w:t>Πρόβλεψη επισφαλειών</w:t>
            </w:r>
          </w:p>
        </w:tc>
        <w:tc>
          <w:tcPr>
            <w:tcW w:w="2400" w:type="dxa"/>
            <w:shd w:val="clear" w:color="auto" w:fill="1F3864"/>
            <w:tcMar>
              <w:top w:w="80" w:type="dxa"/>
              <w:left w:w="100" w:type="dxa"/>
              <w:bottom w:w="80" w:type="dxa"/>
              <w:right w:w="100" w:type="dxa"/>
            </w:tcMar>
          </w:tcPr>
          <w:p w14:paraId="61059E29" w14:textId="77777777" w:rsidR="00BE735E" w:rsidRDefault="00000000">
            <w:pPr>
              <w:jc w:val="center"/>
            </w:pPr>
            <w:r>
              <w:rPr>
                <w:rFonts w:ascii="Calibri" w:eastAsia="Calibri" w:hAnsi="Calibri" w:cs="Calibri"/>
                <w:b/>
                <w:bCs/>
              </w:rPr>
              <w:t>Πραγματικό αποτέλεσμα προ πρόβλεψης</w:t>
            </w:r>
          </w:p>
        </w:tc>
      </w:tr>
      <w:tr w:rsidR="00BE735E" w14:paraId="749BE55F" w14:textId="77777777">
        <w:tc>
          <w:tcPr>
            <w:tcW w:w="2600" w:type="dxa"/>
            <w:tcMar>
              <w:top w:w="80" w:type="dxa"/>
              <w:left w:w="100" w:type="dxa"/>
              <w:bottom w:w="80" w:type="dxa"/>
              <w:right w:w="100" w:type="dxa"/>
            </w:tcMar>
          </w:tcPr>
          <w:p w14:paraId="77879554" w14:textId="77777777" w:rsidR="00BE735E" w:rsidRDefault="00000000">
            <w:pPr>
              <w:jc w:val="center"/>
            </w:pPr>
            <w:r>
              <w:rPr>
                <w:rFonts w:ascii="Calibri" w:eastAsia="Calibri" w:hAnsi="Calibri" w:cs="Calibri"/>
              </w:rPr>
              <w:t>2024</w:t>
            </w:r>
          </w:p>
        </w:tc>
        <w:tc>
          <w:tcPr>
            <w:tcW w:w="2600" w:type="dxa"/>
            <w:tcMar>
              <w:top w:w="80" w:type="dxa"/>
              <w:left w:w="100" w:type="dxa"/>
              <w:bottom w:w="80" w:type="dxa"/>
              <w:right w:w="100" w:type="dxa"/>
            </w:tcMar>
          </w:tcPr>
          <w:p w14:paraId="2778AF54" w14:textId="77777777" w:rsidR="00BE735E" w:rsidRDefault="00000000">
            <w:pPr>
              <w:jc w:val="center"/>
            </w:pPr>
            <w:r>
              <w:rPr>
                <w:rFonts w:ascii="Calibri" w:eastAsia="Calibri" w:hAnsi="Calibri" w:cs="Calibri"/>
              </w:rPr>
              <w:t>743.624,46 €</w:t>
            </w:r>
          </w:p>
        </w:tc>
        <w:tc>
          <w:tcPr>
            <w:tcW w:w="2600" w:type="dxa"/>
            <w:tcMar>
              <w:top w:w="80" w:type="dxa"/>
              <w:left w:w="100" w:type="dxa"/>
              <w:bottom w:w="80" w:type="dxa"/>
              <w:right w:w="100" w:type="dxa"/>
            </w:tcMar>
          </w:tcPr>
          <w:p w14:paraId="5BEAEE13" w14:textId="77777777" w:rsidR="00BE735E" w:rsidRDefault="00000000">
            <w:pPr>
              <w:jc w:val="center"/>
            </w:pPr>
            <w:r>
              <w:rPr>
                <w:rFonts w:ascii="Calibri" w:eastAsia="Calibri" w:hAnsi="Calibri" w:cs="Calibri"/>
              </w:rPr>
              <w:t>5.134.988,83 €</w:t>
            </w:r>
          </w:p>
        </w:tc>
        <w:tc>
          <w:tcPr>
            <w:tcW w:w="2400" w:type="dxa"/>
            <w:tcMar>
              <w:top w:w="80" w:type="dxa"/>
              <w:left w:w="100" w:type="dxa"/>
              <w:bottom w:w="80" w:type="dxa"/>
              <w:right w:w="100" w:type="dxa"/>
            </w:tcMar>
          </w:tcPr>
          <w:p w14:paraId="5EBC3075" w14:textId="77777777" w:rsidR="00BE735E" w:rsidRDefault="00000000">
            <w:pPr>
              <w:jc w:val="center"/>
            </w:pPr>
            <w:r>
              <w:rPr>
                <w:rFonts w:ascii="Calibri" w:eastAsia="Calibri" w:hAnsi="Calibri" w:cs="Calibri"/>
                <w:b/>
                <w:bCs/>
              </w:rPr>
              <w:t>5.878.613,29 €</w:t>
            </w:r>
          </w:p>
        </w:tc>
      </w:tr>
      <w:tr w:rsidR="00BE735E" w14:paraId="65627273" w14:textId="77777777">
        <w:tc>
          <w:tcPr>
            <w:tcW w:w="2600" w:type="dxa"/>
            <w:tcMar>
              <w:top w:w="80" w:type="dxa"/>
              <w:left w:w="100" w:type="dxa"/>
              <w:bottom w:w="80" w:type="dxa"/>
              <w:right w:w="100" w:type="dxa"/>
            </w:tcMar>
          </w:tcPr>
          <w:p w14:paraId="1BBB6ACB" w14:textId="77777777" w:rsidR="00BE735E" w:rsidRDefault="00000000">
            <w:pPr>
              <w:jc w:val="center"/>
            </w:pPr>
            <w:r>
              <w:rPr>
                <w:rFonts w:ascii="Calibri" w:eastAsia="Calibri" w:hAnsi="Calibri" w:cs="Calibri"/>
              </w:rPr>
              <w:t>2025</w:t>
            </w:r>
          </w:p>
        </w:tc>
        <w:tc>
          <w:tcPr>
            <w:tcW w:w="2600" w:type="dxa"/>
            <w:tcMar>
              <w:top w:w="80" w:type="dxa"/>
              <w:left w:w="100" w:type="dxa"/>
              <w:bottom w:w="80" w:type="dxa"/>
              <w:right w:w="100" w:type="dxa"/>
            </w:tcMar>
          </w:tcPr>
          <w:p w14:paraId="7FFCBC31" w14:textId="77777777" w:rsidR="00BE735E" w:rsidRDefault="00000000">
            <w:pPr>
              <w:jc w:val="center"/>
            </w:pPr>
            <w:r>
              <w:rPr>
                <w:rFonts w:ascii="Calibri" w:eastAsia="Calibri" w:hAnsi="Calibri" w:cs="Calibri"/>
              </w:rPr>
              <w:t>9.660.857,11 €</w:t>
            </w:r>
          </w:p>
        </w:tc>
        <w:tc>
          <w:tcPr>
            <w:tcW w:w="2600" w:type="dxa"/>
            <w:tcMar>
              <w:top w:w="80" w:type="dxa"/>
              <w:left w:w="100" w:type="dxa"/>
              <w:bottom w:w="80" w:type="dxa"/>
              <w:right w:w="100" w:type="dxa"/>
            </w:tcMar>
          </w:tcPr>
          <w:p w14:paraId="1DCCAAD3" w14:textId="77777777" w:rsidR="00BE735E" w:rsidRDefault="00000000">
            <w:pPr>
              <w:jc w:val="center"/>
            </w:pPr>
            <w:r>
              <w:rPr>
                <w:rFonts w:ascii="Calibri" w:eastAsia="Calibri" w:hAnsi="Calibri" w:cs="Calibri"/>
              </w:rPr>
              <w:t>3.193.355,10 €</w:t>
            </w:r>
          </w:p>
        </w:tc>
        <w:tc>
          <w:tcPr>
            <w:tcW w:w="2400" w:type="dxa"/>
            <w:tcMar>
              <w:top w:w="80" w:type="dxa"/>
              <w:left w:w="100" w:type="dxa"/>
              <w:bottom w:w="80" w:type="dxa"/>
              <w:right w:w="100" w:type="dxa"/>
            </w:tcMar>
          </w:tcPr>
          <w:p w14:paraId="4FC2206A" w14:textId="77777777" w:rsidR="00BE735E" w:rsidRDefault="00000000">
            <w:pPr>
              <w:jc w:val="center"/>
            </w:pPr>
            <w:r>
              <w:rPr>
                <w:rFonts w:ascii="Calibri" w:eastAsia="Calibri" w:hAnsi="Calibri" w:cs="Calibri"/>
                <w:b/>
                <w:bCs/>
              </w:rPr>
              <w:t>12.854.212,21 €</w:t>
            </w:r>
          </w:p>
        </w:tc>
      </w:tr>
    </w:tbl>
    <w:p w14:paraId="0CCD8DDB" w14:textId="77777777" w:rsidR="00BE735E" w:rsidRDefault="00BE735E">
      <w:pPr>
        <w:spacing w:after="160" w:line="300" w:lineRule="auto"/>
        <w:jc w:val="both"/>
      </w:pPr>
    </w:p>
    <w:p w14:paraId="44C7C980" w14:textId="77777777" w:rsidR="00BE735E" w:rsidRDefault="00000000">
      <w:pPr>
        <w:spacing w:after="160" w:line="300" w:lineRule="auto"/>
        <w:jc w:val="both"/>
      </w:pPr>
      <w:r>
        <w:rPr>
          <w:rFonts w:ascii="Calibri" w:eastAsia="Calibri" w:hAnsi="Calibri" w:cs="Calibri"/>
          <w:sz w:val="22"/>
          <w:szCs w:val="22"/>
        </w:rPr>
        <w:lastRenderedPageBreak/>
        <w:t>Η σημερινή διοίκηση εμφανίζει μικρότερα λογιστικά κέρδη απ' όσα θα μπορούσε, ακριβώς επειδή προβλέπει πιο αυστηρά για επισφάλειες — το αντίθετο ακριβώς από ό,τι έκανε η διοίκηση στην οποία μετείχε ο κ. Σπυρόπουλος. Αυτά τα στοιχεία είναι δημόσια, βρίσκονται στους ισολογισμούς της επιχείρησης, αναρτημένα στη Διαύγεια. Ο κ. Σπυρόπουλος δεν σας τα παρουσίασε πριν συντάξετε την ανακοίνωσή σας. Δεν σας ενημέρωσε· σας χρησιμοποίησε.</w:t>
      </w:r>
    </w:p>
    <w:p w14:paraId="3F89FD28" w14:textId="77777777" w:rsidR="00BE735E" w:rsidRDefault="00000000">
      <w:pPr>
        <w:pStyle w:val="1"/>
        <w:spacing w:before="300" w:after="160"/>
      </w:pPr>
      <w:r>
        <w:rPr>
          <w:rFonts w:ascii="Calibri" w:eastAsia="Calibri" w:hAnsi="Calibri" w:cs="Calibri"/>
          <w:b/>
          <w:bCs/>
          <w:color w:val="1F3864"/>
          <w:sz w:val="26"/>
          <w:szCs w:val="26"/>
        </w:rPr>
        <w:t>Δ. Τα ανοιχτά μέτωπα υποχρεώσεων — και η δική του ευθύνη σε αυτά</w:t>
      </w:r>
    </w:p>
    <w:p w14:paraId="2BC1B037" w14:textId="77777777" w:rsidR="00BE735E" w:rsidRDefault="00000000">
      <w:pPr>
        <w:spacing w:after="160" w:line="300" w:lineRule="auto"/>
        <w:jc w:val="both"/>
      </w:pPr>
      <w:r>
        <w:rPr>
          <w:rFonts w:ascii="Calibri" w:eastAsia="Calibri" w:hAnsi="Calibri" w:cs="Calibri"/>
          <w:sz w:val="22"/>
          <w:szCs w:val="22"/>
        </w:rPr>
        <w:t>Η ανακοίνωσή σας κάνει λόγο για οφειλές προς ΔΕΗ σαν να είναι αποκλειστική ευθύνη της σημερινής διοίκησης. Η αλήθεια είναι διαφορετική και τεκμηριωμένη:</w:t>
      </w:r>
    </w:p>
    <w:p w14:paraId="4091E8CD" w14:textId="77777777" w:rsidR="00BE735E" w:rsidRDefault="00000000">
      <w:pPr>
        <w:pStyle w:val="a4"/>
        <w:numPr>
          <w:ilvl w:val="0"/>
          <w:numId w:val="2"/>
        </w:numPr>
        <w:spacing w:after="100" w:line="290" w:lineRule="auto"/>
        <w:jc w:val="both"/>
      </w:pPr>
      <w:r>
        <w:rPr>
          <w:rFonts w:ascii="Calibri" w:eastAsia="Calibri" w:hAnsi="Calibri" w:cs="Calibri"/>
          <w:sz w:val="22"/>
          <w:szCs w:val="22"/>
        </w:rPr>
        <w:t>ΔΕΗ: Έχει ήδη εξασφαλιστεί χρηματοδότηση για την αποπληρωμή ληξιπρόθεσμων οφειλών άνω των 10 εκατ.€, με τα σχετικά αιτήματα ήδη κατατεθειμένα από τη σημερινή διοίκηση. Από το σύνολο αυτής της οφειλής, περίπου 12 εκατ.€ είναι προϊόν συσσώρευσης της περιόδου 2021-2022-2023 — δηλαδή δημιουργήθηκαν επί της δικής του θητείας.</w:t>
      </w:r>
    </w:p>
    <w:p w14:paraId="389CCA81" w14:textId="0818EF0B" w:rsidR="00BE735E" w:rsidRDefault="00000000">
      <w:pPr>
        <w:pStyle w:val="a4"/>
        <w:numPr>
          <w:ilvl w:val="0"/>
          <w:numId w:val="2"/>
        </w:numPr>
        <w:spacing w:after="100" w:line="290" w:lineRule="auto"/>
        <w:jc w:val="both"/>
      </w:pPr>
      <w:r>
        <w:rPr>
          <w:rFonts w:ascii="Calibri" w:eastAsia="Calibri" w:hAnsi="Calibri" w:cs="Calibri"/>
          <w:sz w:val="22"/>
          <w:szCs w:val="22"/>
        </w:rPr>
        <w:t xml:space="preserve">Δήμος Ρόδου: Οι οφειλές μεταξύ ΔΕΥΑΡ και Δήμου </w:t>
      </w:r>
      <w:r w:rsidR="009F1A61">
        <w:rPr>
          <w:rFonts w:ascii="Calibri" w:eastAsia="Calibri" w:hAnsi="Calibri" w:cs="Calibri"/>
          <w:sz w:val="22"/>
          <w:szCs w:val="22"/>
        </w:rPr>
        <w:t>που υπόκεινται σε</w:t>
      </w:r>
      <w:r>
        <w:rPr>
          <w:rFonts w:ascii="Calibri" w:eastAsia="Calibri" w:hAnsi="Calibri" w:cs="Calibri"/>
          <w:sz w:val="22"/>
          <w:szCs w:val="22"/>
        </w:rPr>
        <w:t xml:space="preserve"> επανέλεγχο από τη σημερινή διοίκηση, καθώς διαπιστώθηκε ότι ούτε τα δάνεια ούτε οι καταβολές της ΔΕΥΑΡ ήταν σωστά αποτυπωμένα στα βιβλία. Εκκρεμεί ο τελικός συμψηφισμός ΔΕΥΑΡ-Δήμου ως προς τα ληξιπρόθεσμα ποσά — ακόμη και η καταγραφή αυτών των οφειλών κληρονομήθηκε λανθασμένη.</w:t>
      </w:r>
    </w:p>
    <w:p w14:paraId="73D5E487" w14:textId="77777777" w:rsidR="00BE735E" w:rsidRDefault="00000000">
      <w:pPr>
        <w:pStyle w:val="1"/>
        <w:spacing w:before="300" w:after="160"/>
      </w:pPr>
      <w:r>
        <w:rPr>
          <w:rFonts w:ascii="Calibri" w:eastAsia="Calibri" w:hAnsi="Calibri" w:cs="Calibri"/>
          <w:b/>
          <w:bCs/>
          <w:color w:val="1F3864"/>
          <w:sz w:val="26"/>
          <w:szCs w:val="26"/>
        </w:rPr>
        <w:t>Ε. Ο «χρυσός γιος» της προηγούμενης δημοτικής αρχής</w:t>
      </w:r>
    </w:p>
    <w:p w14:paraId="6FACF6E4" w14:textId="36C826D6" w:rsidR="00BE735E" w:rsidRDefault="00000000">
      <w:pPr>
        <w:spacing w:after="160" w:line="300" w:lineRule="auto"/>
        <w:jc w:val="both"/>
      </w:pPr>
      <w:r>
        <w:rPr>
          <w:rFonts w:ascii="Calibri" w:eastAsia="Calibri" w:hAnsi="Calibri" w:cs="Calibri"/>
          <w:sz w:val="22"/>
          <w:szCs w:val="22"/>
        </w:rPr>
        <w:t xml:space="preserve">Ενώ διαμαρτύρεται σήμερα δημόσια για την οικονομική διαχείριση της ΔΕΥΑΡ, ο κ. Σπυρόπουλος, ως έμμισθος αντιπρόεδρος, </w:t>
      </w:r>
      <w:r w:rsidRPr="002112B0">
        <w:rPr>
          <w:rFonts w:ascii="Calibri" w:eastAsia="Calibri" w:hAnsi="Calibri" w:cs="Calibri"/>
          <w:b/>
          <w:bCs/>
          <w:sz w:val="22"/>
          <w:szCs w:val="22"/>
        </w:rPr>
        <w:t xml:space="preserve">ελάμβανε καθαρές αποδοχές </w:t>
      </w:r>
      <w:r w:rsidR="002112B0" w:rsidRPr="002112B0">
        <w:rPr>
          <w:rFonts w:ascii="Calibri" w:eastAsia="Calibri" w:hAnsi="Calibri" w:cs="Calibri"/>
          <w:b/>
          <w:bCs/>
          <w:sz w:val="22"/>
          <w:szCs w:val="22"/>
        </w:rPr>
        <w:t>1.610</w:t>
      </w:r>
      <w:r w:rsidRPr="002112B0">
        <w:rPr>
          <w:rFonts w:ascii="Calibri" w:eastAsia="Calibri" w:hAnsi="Calibri" w:cs="Calibri"/>
          <w:b/>
          <w:bCs/>
          <w:sz w:val="22"/>
          <w:szCs w:val="22"/>
        </w:rPr>
        <w:t xml:space="preserve">€ (μεικτές </w:t>
      </w:r>
      <w:r w:rsidR="002112B0" w:rsidRPr="002112B0">
        <w:rPr>
          <w:rFonts w:ascii="Calibri" w:eastAsia="Calibri" w:hAnsi="Calibri" w:cs="Calibri"/>
          <w:b/>
          <w:bCs/>
          <w:sz w:val="22"/>
          <w:szCs w:val="22"/>
        </w:rPr>
        <w:t>2.137</w:t>
      </w:r>
      <w:r w:rsidRPr="002112B0">
        <w:rPr>
          <w:rFonts w:ascii="Calibri" w:eastAsia="Calibri" w:hAnsi="Calibri" w:cs="Calibri"/>
          <w:b/>
          <w:bCs/>
          <w:sz w:val="22"/>
          <w:szCs w:val="22"/>
        </w:rPr>
        <w:t>€)</w:t>
      </w:r>
      <w:r>
        <w:rPr>
          <w:rFonts w:ascii="Calibri" w:eastAsia="Calibri" w:hAnsi="Calibri" w:cs="Calibri"/>
          <w:sz w:val="22"/>
          <w:szCs w:val="22"/>
        </w:rPr>
        <w:t xml:space="preserve">  αμοιβή που καθορίζεται με απόφαση δημοσιευμένη </w:t>
      </w:r>
      <w:r w:rsidR="002112B0">
        <w:rPr>
          <w:rFonts w:ascii="Calibri" w:eastAsia="Calibri" w:hAnsi="Calibri" w:cs="Calibri"/>
          <w:sz w:val="22"/>
          <w:szCs w:val="22"/>
        </w:rPr>
        <w:t>από την αποκεντρωμένη διοίκηση</w:t>
      </w:r>
      <w:r>
        <w:rPr>
          <w:rFonts w:ascii="Calibri" w:eastAsia="Calibri" w:hAnsi="Calibri" w:cs="Calibri"/>
          <w:sz w:val="22"/>
          <w:szCs w:val="22"/>
        </w:rPr>
        <w:t>, δημόσιο και ελέγξιμο στοιχείο</w:t>
      </w:r>
      <w:r w:rsidR="002112B0">
        <w:rPr>
          <w:rFonts w:ascii="Calibri" w:eastAsia="Calibri" w:hAnsi="Calibri" w:cs="Calibri"/>
          <w:sz w:val="22"/>
          <w:szCs w:val="22"/>
        </w:rPr>
        <w:t>, με αρμοδιότητες των έλεγχο παρακολούθηση και αξιολόγηση των οικονομικών δραστηριοτήτων και την παρακολούθηση των δημοσίων συμβάσεων, της τιμολογιακής πολιτικής και των μακροοικονομικών μεγεθών που σχετίζονται με τη βιωσιμότητα της, τομέας που από τις εκθέσεις των ορκωτών λογιστών φαίνεται να απέτυχε</w:t>
      </w:r>
      <w:r>
        <w:rPr>
          <w:rFonts w:ascii="Calibri" w:eastAsia="Calibri" w:hAnsi="Calibri" w:cs="Calibri"/>
          <w:sz w:val="22"/>
          <w:szCs w:val="22"/>
        </w:rPr>
        <w:t xml:space="preserve">. Παράλληλα, την ίδια ακριβώς περίοδο, εισέπραττε αμοιβή και ως εκκαθαριστής της </w:t>
      </w:r>
      <w:r w:rsidRPr="002112B0">
        <w:rPr>
          <w:rFonts w:ascii="Calibri" w:eastAsia="Calibri" w:hAnsi="Calibri" w:cs="Calibri"/>
          <w:b/>
          <w:bCs/>
          <w:sz w:val="22"/>
          <w:szCs w:val="22"/>
        </w:rPr>
        <w:t>ΡΟΔΟΝ Α.Ε. ύψους 2.500€ καθαρά (ή, εναλλακτικά, 3.100€ πλέον ΦΠΑ).</w:t>
      </w:r>
      <w:r>
        <w:rPr>
          <w:rFonts w:ascii="Calibri" w:eastAsia="Calibri" w:hAnsi="Calibri" w:cs="Calibri"/>
          <w:sz w:val="22"/>
          <w:szCs w:val="22"/>
        </w:rPr>
        <w:t xml:space="preserve"> Αθροιστικά, το μηνιαίο εισόδημά του από τις δύο αυτές θέσεις </w:t>
      </w:r>
      <w:r w:rsidRPr="002112B0">
        <w:rPr>
          <w:rFonts w:ascii="Calibri" w:eastAsia="Calibri" w:hAnsi="Calibri" w:cs="Calibri"/>
          <w:b/>
          <w:bCs/>
          <w:sz w:val="22"/>
          <w:szCs w:val="22"/>
        </w:rPr>
        <w:t>έφτανε τα 4.</w:t>
      </w:r>
      <w:r w:rsidR="002112B0" w:rsidRPr="002112B0">
        <w:rPr>
          <w:rFonts w:ascii="Calibri" w:eastAsia="Calibri" w:hAnsi="Calibri" w:cs="Calibri"/>
          <w:b/>
          <w:bCs/>
          <w:sz w:val="22"/>
          <w:szCs w:val="22"/>
        </w:rPr>
        <w:t>110</w:t>
      </w:r>
      <w:r w:rsidRPr="002112B0">
        <w:rPr>
          <w:rFonts w:ascii="Calibri" w:eastAsia="Calibri" w:hAnsi="Calibri" w:cs="Calibri"/>
          <w:b/>
          <w:bCs/>
          <w:sz w:val="22"/>
          <w:szCs w:val="22"/>
        </w:rPr>
        <w:t>€ καθαρά — ή, με μεικτούς όρους, περί τα 5.</w:t>
      </w:r>
      <w:r w:rsidR="002112B0" w:rsidRPr="002112B0">
        <w:rPr>
          <w:rFonts w:ascii="Calibri" w:eastAsia="Calibri" w:hAnsi="Calibri" w:cs="Calibri"/>
          <w:b/>
          <w:bCs/>
          <w:sz w:val="22"/>
          <w:szCs w:val="22"/>
        </w:rPr>
        <w:t>237</w:t>
      </w:r>
      <w:r>
        <w:rPr>
          <w:rFonts w:ascii="Calibri" w:eastAsia="Calibri" w:hAnsi="Calibri" w:cs="Calibri"/>
          <w:sz w:val="22"/>
          <w:szCs w:val="22"/>
        </w:rPr>
        <w:t>€</w:t>
      </w:r>
      <w:r w:rsidR="002112B0">
        <w:rPr>
          <w:rFonts w:ascii="Calibri" w:eastAsia="Calibri" w:hAnsi="Calibri" w:cs="Calibri"/>
          <w:sz w:val="22"/>
          <w:szCs w:val="22"/>
        </w:rPr>
        <w:t>,</w:t>
      </w:r>
      <w:r>
        <w:rPr>
          <w:rFonts w:ascii="Calibri" w:eastAsia="Calibri" w:hAnsi="Calibri" w:cs="Calibri"/>
          <w:sz w:val="22"/>
          <w:szCs w:val="22"/>
        </w:rPr>
        <w:t xml:space="preserve"> υπερβαίνοντας το εισόδημα του Γενικού Γραμματέα του Δήμου Ρόδου, και προφανώς και του ίδιου του Δημάρχου</w:t>
      </w:r>
      <w:r w:rsidR="00F97C1D">
        <w:rPr>
          <w:rFonts w:ascii="Calibri" w:eastAsia="Calibri" w:hAnsi="Calibri" w:cs="Calibri"/>
          <w:sz w:val="22"/>
          <w:szCs w:val="22"/>
        </w:rPr>
        <w:t>, την στιγμή που εσείς οι υπόλοιποι, μέλη της Νέας Αρχής παραμείνατε άμισθοι καθ’ όλη τη θητεία σας</w:t>
      </w:r>
      <w:r>
        <w:rPr>
          <w:rFonts w:ascii="Calibri" w:eastAsia="Calibri" w:hAnsi="Calibri" w:cs="Calibri"/>
          <w:sz w:val="22"/>
          <w:szCs w:val="22"/>
        </w:rPr>
        <w:t xml:space="preserve">. </w:t>
      </w:r>
      <w:r w:rsidR="00F97C1D">
        <w:rPr>
          <w:rFonts w:ascii="Calibri" w:eastAsia="Calibri" w:hAnsi="Calibri" w:cs="Calibri"/>
          <w:sz w:val="22"/>
          <w:szCs w:val="22"/>
        </w:rPr>
        <w:t xml:space="preserve">Όντας ο μόνος με </w:t>
      </w:r>
      <w:r w:rsidR="002112B0">
        <w:rPr>
          <w:rFonts w:ascii="Calibri" w:eastAsia="Calibri" w:hAnsi="Calibri" w:cs="Calibri"/>
          <w:sz w:val="22"/>
          <w:szCs w:val="22"/>
        </w:rPr>
        <w:t>δ</w:t>
      </w:r>
      <w:r>
        <w:rPr>
          <w:rFonts w:ascii="Calibri" w:eastAsia="Calibri" w:hAnsi="Calibri" w:cs="Calibri"/>
          <w:sz w:val="22"/>
          <w:szCs w:val="22"/>
        </w:rPr>
        <w:t xml:space="preserve">ύο </w:t>
      </w:r>
      <w:r w:rsidR="00F97C1D">
        <w:rPr>
          <w:rFonts w:ascii="Calibri" w:eastAsia="Calibri" w:hAnsi="Calibri" w:cs="Calibri"/>
          <w:sz w:val="22"/>
          <w:szCs w:val="22"/>
        </w:rPr>
        <w:t xml:space="preserve">μισθούς- </w:t>
      </w:r>
      <w:r>
        <w:rPr>
          <w:rFonts w:ascii="Calibri" w:eastAsia="Calibri" w:hAnsi="Calibri" w:cs="Calibri"/>
          <w:sz w:val="22"/>
          <w:szCs w:val="22"/>
        </w:rPr>
        <w:t>αμοιβές, από δύο φορείς εντός ή συνδεδεμένους με τον ίδιο Δήμο, ταυτόχρονα, καταγεγραμμένες σε δύο ξεχωριστά δημόσια μητρώα. Αν αυτό ήταν νομικά προβλεπόμενο, ας το επιβεβαιώσει δημόσια η ίδια η «Νέα Αρχή Ρόδου». Το βέβαιο είναι ότι εξηγεί, καλύτερα από κάθε πολιτικό επιχείρημα, γιατί ο κ. Σπυρόπουλος νοσταλγεί τόσο έντονα εκείνη την περίοδο.</w:t>
      </w:r>
    </w:p>
    <w:p w14:paraId="59887FBD" w14:textId="77777777" w:rsidR="00BE735E" w:rsidRDefault="00000000">
      <w:pPr>
        <w:pStyle w:val="1"/>
        <w:spacing w:before="300" w:after="160"/>
      </w:pPr>
      <w:r>
        <w:rPr>
          <w:rFonts w:ascii="Calibri" w:eastAsia="Calibri" w:hAnsi="Calibri" w:cs="Calibri"/>
          <w:b/>
          <w:bCs/>
          <w:color w:val="1F3864"/>
          <w:sz w:val="26"/>
          <w:szCs w:val="26"/>
        </w:rPr>
        <w:t>Το πολιτικό ζήτημα που θέτουμε</w:t>
      </w:r>
    </w:p>
    <w:p w14:paraId="649959B0" w14:textId="572265E6" w:rsidR="00BE735E" w:rsidRDefault="00000000">
      <w:pPr>
        <w:spacing w:after="160" w:line="300" w:lineRule="auto"/>
        <w:jc w:val="both"/>
      </w:pPr>
      <w:r>
        <w:rPr>
          <w:rFonts w:ascii="Calibri" w:eastAsia="Calibri" w:hAnsi="Calibri" w:cs="Calibri"/>
          <w:sz w:val="22"/>
          <w:szCs w:val="22"/>
        </w:rPr>
        <w:t xml:space="preserve">Δεν πρόκειται για λογιστική διαφωνία. Πρόκειται για ζήτημα πολιτικής ηθικής: ένα πρόσωπο με προσωπικό όφελος να αποκρύψει τη δική του θητεία επιλέγεται από τη «Νέα Αρχή Ρόδου» ως εκφραστής της οικονομικής της κριτικής, χωρίς κανείς από εσάς, απ' ό,τι φαίνεται, να ελέγξει τα στοιχεία πριν βάλει την υπογραφή του δίπλα στη δική του. Αυτό δεν αφορά μόνο τον κ. Σπυρόπουλο· αφορά την πολιτική σοβαρότητα ολόκληρης της παράταξής σας. Ο ροδιακός λαός δεν δικαιούται εντυπώσεις· δικαιούται στοιχεία. Η σημερινή διοίκηση της ΔΕΥΑΡ τα καταθέτει δημόσια, τεκμηριωμένα, αναρτημένα στη Διαύγεια. </w:t>
      </w:r>
      <w:r>
        <w:rPr>
          <w:rFonts w:ascii="Calibri" w:eastAsia="Calibri" w:hAnsi="Calibri" w:cs="Calibri"/>
          <w:sz w:val="22"/>
          <w:szCs w:val="22"/>
        </w:rPr>
        <w:lastRenderedPageBreak/>
        <w:t>Σας καλούμε να κάνετε το ίδιο: να αποστασιοποιηθείτε δημόσια από όσα εδώ αποδεικνύονται ανακριβή, και να δηλώσετε καθαρά αν η πολιτική σας πυξίδα θα συνεχίσει να είναι η μαρτυρία ενός ανθρώπου με τόσα να κρύψει.</w:t>
      </w:r>
    </w:p>
    <w:p w14:paraId="6A12A195" w14:textId="77777777" w:rsidR="00BE735E" w:rsidRDefault="00BE735E">
      <w:pPr>
        <w:pBdr>
          <w:bottom w:val="single" w:sz="6" w:space="1" w:color="999999"/>
        </w:pBdr>
        <w:spacing w:after="200"/>
      </w:pPr>
    </w:p>
    <w:p w14:paraId="67CDB980" w14:textId="77777777" w:rsidR="00BE735E" w:rsidRPr="0061189C" w:rsidRDefault="00000000" w:rsidP="0061189C">
      <w:pPr>
        <w:spacing w:before="200" w:after="40"/>
        <w:jc w:val="center"/>
        <w:rPr>
          <w:b/>
          <w:bCs/>
        </w:rPr>
      </w:pPr>
      <w:r w:rsidRPr="0061189C">
        <w:rPr>
          <w:rFonts w:ascii="Calibri" w:eastAsia="Calibri" w:hAnsi="Calibri" w:cs="Calibri"/>
          <w:b/>
          <w:bCs/>
          <w:sz w:val="22"/>
          <w:szCs w:val="22"/>
        </w:rPr>
        <w:t>Με εκτίμηση,</w:t>
      </w:r>
    </w:p>
    <w:p w14:paraId="5A5264AD" w14:textId="77777777" w:rsidR="00BE735E" w:rsidRPr="0061189C" w:rsidRDefault="00000000" w:rsidP="0061189C">
      <w:pPr>
        <w:spacing w:after="20"/>
        <w:jc w:val="center"/>
        <w:rPr>
          <w:b/>
          <w:bCs/>
        </w:rPr>
      </w:pPr>
      <w:r w:rsidRPr="0061189C">
        <w:rPr>
          <w:rFonts w:ascii="Calibri" w:eastAsia="Calibri" w:hAnsi="Calibri" w:cs="Calibri"/>
          <w:b/>
          <w:bCs/>
          <w:sz w:val="22"/>
          <w:szCs w:val="22"/>
        </w:rPr>
        <w:t>Σωτήρης Βαγιανός</w:t>
      </w:r>
    </w:p>
    <w:p w14:paraId="25ED2062" w14:textId="77777777" w:rsidR="00BE735E" w:rsidRPr="0061189C" w:rsidRDefault="00000000" w:rsidP="0061189C">
      <w:pPr>
        <w:spacing w:after="20"/>
        <w:jc w:val="center"/>
        <w:rPr>
          <w:b/>
          <w:bCs/>
        </w:rPr>
      </w:pPr>
      <w:r w:rsidRPr="0061189C">
        <w:rPr>
          <w:rFonts w:ascii="Calibri" w:eastAsia="Calibri" w:hAnsi="Calibri" w:cs="Calibri"/>
          <w:b/>
          <w:bCs/>
        </w:rPr>
        <w:t>Πρόεδρος Διοικητικού Συμβουλίου ΔΕΥΑΡ</w:t>
      </w:r>
    </w:p>
    <w:p w14:paraId="150019C9" w14:textId="77777777" w:rsidR="00BE735E" w:rsidRPr="0061189C" w:rsidRDefault="00000000" w:rsidP="0061189C">
      <w:pPr>
        <w:spacing w:after="20"/>
        <w:jc w:val="center"/>
        <w:rPr>
          <w:b/>
          <w:bCs/>
        </w:rPr>
      </w:pPr>
      <w:r w:rsidRPr="0061189C">
        <w:rPr>
          <w:rFonts w:ascii="Calibri" w:eastAsia="Calibri" w:hAnsi="Calibri" w:cs="Calibri"/>
          <w:b/>
          <w:bCs/>
        </w:rPr>
        <w:t>Δημοτικός Σύμβουλος, παράταξη «ΕΝ.Α (Ενωμένοι Αλλάζουμε) – Μαζί για τη Ρόδο»</w:t>
      </w:r>
    </w:p>
    <w:p w14:paraId="3FE9E0C1" w14:textId="77777777" w:rsidR="00BE735E" w:rsidRPr="0061189C" w:rsidRDefault="00000000" w:rsidP="0061189C">
      <w:pPr>
        <w:spacing w:after="20"/>
        <w:jc w:val="center"/>
        <w:rPr>
          <w:b/>
          <w:bCs/>
        </w:rPr>
      </w:pPr>
      <w:r w:rsidRPr="0061189C">
        <w:rPr>
          <w:rFonts w:ascii="Calibri" w:eastAsia="Calibri" w:hAnsi="Calibri" w:cs="Calibri"/>
          <w:b/>
          <w:bCs/>
        </w:rPr>
        <w:t>του Αλέξανδρου Κολιάδη</w:t>
      </w:r>
    </w:p>
    <w:sectPr w:rsidR="00BE735E" w:rsidRPr="0061189C">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6EE2"/>
    <w:multiLevelType w:val="hybridMultilevel"/>
    <w:tmpl w:val="69A6859E"/>
    <w:lvl w:ilvl="0" w:tplc="750844A8">
      <w:start w:val="1"/>
      <w:numFmt w:val="bullet"/>
      <w:lvlText w:val="●"/>
      <w:lvlJc w:val="left"/>
      <w:pPr>
        <w:ind w:left="720" w:hanging="360"/>
      </w:pPr>
    </w:lvl>
    <w:lvl w:ilvl="1" w:tplc="4EEE6732">
      <w:start w:val="1"/>
      <w:numFmt w:val="bullet"/>
      <w:lvlText w:val="○"/>
      <w:lvlJc w:val="left"/>
      <w:pPr>
        <w:ind w:left="1440" w:hanging="360"/>
      </w:pPr>
    </w:lvl>
    <w:lvl w:ilvl="2" w:tplc="7284C1C0">
      <w:start w:val="1"/>
      <w:numFmt w:val="bullet"/>
      <w:lvlText w:val="■"/>
      <w:lvlJc w:val="left"/>
      <w:pPr>
        <w:ind w:left="2160" w:hanging="360"/>
      </w:pPr>
    </w:lvl>
    <w:lvl w:ilvl="3" w:tplc="53763D3A">
      <w:start w:val="1"/>
      <w:numFmt w:val="bullet"/>
      <w:lvlText w:val="●"/>
      <w:lvlJc w:val="left"/>
      <w:pPr>
        <w:ind w:left="2880" w:hanging="360"/>
      </w:pPr>
    </w:lvl>
    <w:lvl w:ilvl="4" w:tplc="6D364FC4">
      <w:start w:val="1"/>
      <w:numFmt w:val="bullet"/>
      <w:lvlText w:val="○"/>
      <w:lvlJc w:val="left"/>
      <w:pPr>
        <w:ind w:left="3600" w:hanging="360"/>
      </w:pPr>
    </w:lvl>
    <w:lvl w:ilvl="5" w:tplc="A7EEC376">
      <w:start w:val="1"/>
      <w:numFmt w:val="bullet"/>
      <w:lvlText w:val="■"/>
      <w:lvlJc w:val="left"/>
      <w:pPr>
        <w:ind w:left="4320" w:hanging="360"/>
      </w:pPr>
    </w:lvl>
    <w:lvl w:ilvl="6" w:tplc="F9281BEE">
      <w:start w:val="1"/>
      <w:numFmt w:val="bullet"/>
      <w:lvlText w:val="●"/>
      <w:lvlJc w:val="left"/>
      <w:pPr>
        <w:ind w:left="5040" w:hanging="360"/>
      </w:pPr>
    </w:lvl>
    <w:lvl w:ilvl="7" w:tplc="CFE299A2">
      <w:start w:val="1"/>
      <w:numFmt w:val="bullet"/>
      <w:lvlText w:val="●"/>
      <w:lvlJc w:val="left"/>
      <w:pPr>
        <w:ind w:left="5760" w:hanging="360"/>
      </w:pPr>
    </w:lvl>
    <w:lvl w:ilvl="8" w:tplc="76E6D7A2">
      <w:start w:val="1"/>
      <w:numFmt w:val="bullet"/>
      <w:lvlText w:val="●"/>
      <w:lvlJc w:val="left"/>
      <w:pPr>
        <w:ind w:left="6480" w:hanging="360"/>
      </w:pPr>
    </w:lvl>
  </w:abstractNum>
  <w:abstractNum w:abstractNumId="1" w15:restartNumberingAfterBreak="0">
    <w:nsid w:val="35B5316E"/>
    <w:multiLevelType w:val="hybridMultilevel"/>
    <w:tmpl w:val="314CAC34"/>
    <w:lvl w:ilvl="0" w:tplc="F1084E2A">
      <w:start w:val="1"/>
      <w:numFmt w:val="bullet"/>
      <w:lvlText w:val="•"/>
      <w:lvlJc w:val="left"/>
      <w:pPr>
        <w:ind w:left="504" w:hanging="288"/>
      </w:pPr>
    </w:lvl>
    <w:lvl w:ilvl="1" w:tplc="F7AC217A">
      <w:numFmt w:val="decimal"/>
      <w:lvlText w:val=""/>
      <w:lvlJc w:val="left"/>
    </w:lvl>
    <w:lvl w:ilvl="2" w:tplc="C938E07A">
      <w:numFmt w:val="decimal"/>
      <w:lvlText w:val=""/>
      <w:lvlJc w:val="left"/>
    </w:lvl>
    <w:lvl w:ilvl="3" w:tplc="5FF4A11C">
      <w:numFmt w:val="decimal"/>
      <w:lvlText w:val=""/>
      <w:lvlJc w:val="left"/>
    </w:lvl>
    <w:lvl w:ilvl="4" w:tplc="5052C1B0">
      <w:numFmt w:val="decimal"/>
      <w:lvlText w:val=""/>
      <w:lvlJc w:val="left"/>
    </w:lvl>
    <w:lvl w:ilvl="5" w:tplc="EEDADF52">
      <w:numFmt w:val="decimal"/>
      <w:lvlText w:val=""/>
      <w:lvlJc w:val="left"/>
    </w:lvl>
    <w:lvl w:ilvl="6" w:tplc="CC5C8760">
      <w:numFmt w:val="decimal"/>
      <w:lvlText w:val=""/>
      <w:lvlJc w:val="left"/>
    </w:lvl>
    <w:lvl w:ilvl="7" w:tplc="FE42F6F0">
      <w:numFmt w:val="decimal"/>
      <w:lvlText w:val=""/>
      <w:lvlJc w:val="left"/>
    </w:lvl>
    <w:lvl w:ilvl="8" w:tplc="D76854AE">
      <w:numFmt w:val="decimal"/>
      <w:lvlText w:val=""/>
      <w:lvlJc w:val="left"/>
    </w:lvl>
  </w:abstractNum>
  <w:num w:numId="1" w16cid:durableId="291979036">
    <w:abstractNumId w:val="0"/>
    <w:lvlOverride w:ilvl="0">
      <w:startOverride w:val="1"/>
    </w:lvlOverride>
  </w:num>
  <w:num w:numId="2" w16cid:durableId="45305809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5E"/>
    <w:rsid w:val="002112B0"/>
    <w:rsid w:val="005262C1"/>
    <w:rsid w:val="00564561"/>
    <w:rsid w:val="0061189C"/>
    <w:rsid w:val="0083293E"/>
    <w:rsid w:val="009F1A61"/>
    <w:rsid w:val="00B230D5"/>
    <w:rsid w:val="00B850D0"/>
    <w:rsid w:val="00BE735E"/>
    <w:rsid w:val="00F97C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AF2C"/>
  <w15:docId w15:val="{70D9036C-C1AA-49F5-98A8-BD88D225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style>
  <w:style w:type="character" w:customStyle="1" w:styleId="Char0">
    <w:name w:val="Κείμενο σημείωσης τέλους Char"/>
    <w:link w:val="a8"/>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1426</Words>
  <Characters>7703</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ΠΡΟΕΔΡΟΣ ΔΙΟΙΚΗΤΙΚΟΥ ΣΥΜΒΟΥΛΙΟΥ</cp:lastModifiedBy>
  <cp:revision>3</cp:revision>
  <cp:lastPrinted>2026-07-21T05:14:00Z</cp:lastPrinted>
  <dcterms:created xsi:type="dcterms:W3CDTF">2026-07-21T05:14:00Z</dcterms:created>
  <dcterms:modified xsi:type="dcterms:W3CDTF">2026-07-21T05:16:00Z</dcterms:modified>
</cp:coreProperties>
</file>